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5F" w:rsidRDefault="00B23B5F">
      <w:pPr>
        <w:pStyle w:val="ConsPlusNormal"/>
        <w:spacing w:before="200"/>
      </w:pPr>
      <w:bookmarkStart w:id="0" w:name="_GoBack"/>
      <w:bookmarkEnd w:id="0"/>
    </w:p>
    <w:p w:rsidR="00B23B5F" w:rsidRDefault="00F85E04">
      <w:pPr>
        <w:pStyle w:val="ConsPlusTitle"/>
        <w:jc w:val="center"/>
        <w:outlineLvl w:val="0"/>
      </w:pPr>
      <w:r>
        <w:rPr>
          <w:lang w:val="ru-RU"/>
        </w:rPr>
        <w:t xml:space="preserve">ВЫПИСКА ИЗ </w:t>
      </w:r>
      <w:r w:rsidR="00B23B5F">
        <w:t>РЕШЕНИ</w:t>
      </w:r>
      <w:r w:rsidR="008A06CD">
        <w:rPr>
          <w:lang w:val="ru-RU"/>
        </w:rPr>
        <w:t>Я</w:t>
      </w:r>
      <w:r w:rsidR="00B23B5F">
        <w:t xml:space="preserve"> КОЛЛЕГИИ ЕВРАЗИЙСКОЙ ЭКОНОМИЧЕСКОЙ КОМИССИИ</w:t>
      </w:r>
    </w:p>
    <w:p w:rsidR="00B23B5F" w:rsidRDefault="00B23B5F">
      <w:pPr>
        <w:pStyle w:val="ConsPlusTitle"/>
        <w:jc w:val="center"/>
      </w:pPr>
      <w:r>
        <w:t>21 апреля 2015 г. N 30</w:t>
      </w:r>
    </w:p>
    <w:p w:rsidR="00B23B5F" w:rsidRDefault="00B23B5F">
      <w:pPr>
        <w:pStyle w:val="ConsPlusTitle"/>
        <w:jc w:val="center"/>
      </w:pPr>
    </w:p>
    <w:p w:rsidR="00B23B5F" w:rsidRDefault="00B23B5F">
      <w:pPr>
        <w:pStyle w:val="ConsPlusTitle"/>
        <w:jc w:val="center"/>
      </w:pPr>
      <w:r>
        <w:t>О МЕРАХ НЕТАРИФНОГО РЕГУЛИРОВАНИЯ</w:t>
      </w:r>
    </w:p>
    <w:p w:rsidR="00B23B5F" w:rsidRDefault="00B23B5F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23B5F" w:rsidTr="00562DF9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Коллегии ЕЭК от 16.06.2015 N 67,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01.09.2015 N 109, от 06.10.2015 N 131, от 17.11.2015 N 150,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17.05.2016 N 44, от 02.06.2016 N 57, от 14.06.2016 N 74,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30.08.2016 N 99, от 27.09.2016 N 107, от 15.11.2016 N 145,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16.01.2017 N 2, от 30.06.2017 N 75, от 04.08.2017 N 92,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04.09.2017 N 114, от 14.11.2017 N 147, от 13.12.2017 N 172,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24.04.2018 N 61, от 13.06.2018 N 100, от 16.10.2018 N 163,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29.01.2019 N 14, от 16.04.2019 N 63, от 09.07.2019 N 114,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08.10.2019 N 176, от 26.02.2020 N 28, от 17.03.2020 N 37,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24.03.2020 N 41, от 31.03.2020 N 43, от 16.04.2020 N 45,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21.04.2020 N 57, от 28.04.2020 N 59, от 28.04.2020 N 60,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12.05.2020 N 64, от 26.05.2020 N 70, от 02.06.2020 N 71,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16.06.2020 N 77, от 16.06.2020 N 78, от 11.08.2020 N 95,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24.02.2021 N 18, от 16.03.2021 N 30, от 20.04.2021 N 48,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15.06.2021 N 66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Решением Коллегии ЕЭК от 16.02.2021 N 13)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В соответствии со статьей 46 Договора о Евразийском экономическом союзе от 29 мая 2014 года и пунктами 4 и 37 Протокола о мерах нетарифного регулирования в отношении третьих стран (приложение N 7 к Договору о Евразийском экономическом союзе от 29 мая 2014 года) Коллегия Евразийской экономической комиссии РЕШИЛА: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1" w:name="Par28"/>
      <w:bookmarkEnd w:id="1"/>
      <w:r>
        <w:t>1. Ввести на таможенной территории Евразийского экономического союза следующие единые меры нетарифного регулирования: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запрет ввоза на таможенную территорию Евразийского экономического союза и (или) вывоза с таможенной территории Евразийского экономического союза товаров по перечню согласно приложению N 1;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товаров по перечню согласно приложению N 2;</w:t>
      </w:r>
    </w:p>
    <w:p w:rsidR="00B23B5F" w:rsidRDefault="00B23B5F">
      <w:pPr>
        <w:pStyle w:val="ConsPlusNormal"/>
        <w:jc w:val="both"/>
      </w:pPr>
      <w:r>
        <w:t>(п. 1 в ред. Решения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количественные ограничения экспорта и импорта товаров по перечню согласно приложению N 2-1.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15.06.2021 N 66)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2. Установить, что товары, в отношении которых введены единые меры нетарифного регулирования, указанные в пункте 1 настоящего Решения, включаются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N 7 к Договору о Евразийском экономическом союзе от 29 мая 2014 года) и публикуемый на официальном сайте Евразийского экономического союза в информационно-телекоммуникационной сети "Интернет".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3. Разрешительный порядок, указанный в пункте 1 настоящего Решения, реализуется посредством лицензирования и (или) применения иных административных мер регулирования внешнеторговой деятельности, установленных в соответствии с: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 согласно приложению N 3;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 xml:space="preserve">Положением о вывозе с таможенной территории Евразийского экономического союза минерального </w:t>
      </w:r>
      <w:r>
        <w:lastRenderedPageBreak/>
        <w:t>сырья согласно приложению N 4;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вывозе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 согласно приложению N 5;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союза, согласно приложению N 6;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вывозе с таможенной территории Евразийского экономического союза культурных ценностей, документов национальных архивных фондов и оригиналов архивных документов согласно приложению N 8;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согласно приложению N 9;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согласно приложению N 10;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средств защиты растений (пестицидов) согласно приложению N 11;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вывозе с таможенной территории Евразийского экономического союза коллекционных материалов по минералогии, палеонтологии, костей ископаемых животных согласно приложению N 12;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металлы, согласно приложению N 14;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товаров, согласно приложению N 15;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средств, предназначенных для негласного получения информации, согласно приложению N 16;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оружия, его основных (составных) частей и патронов к нему согласно приложению N 17;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вывозе с таможенной территории Евразийского экономического союза информации о недрах по районам и месторождениям топливно-энергетического и минерального сырья согласно приложению N 18;</w:t>
      </w:r>
    </w:p>
    <w:p w:rsidR="00B23B5F" w:rsidRDefault="00B23B5F">
      <w:pPr>
        <w:pStyle w:val="ConsPlusNormal"/>
        <w:jc w:val="both"/>
      </w:pPr>
      <w:r>
        <w:lastRenderedPageBreak/>
        <w:t>(абзац введен Решением Коллегии ЕЭК от 06.10.2015 N 131)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ядовитых веществ, не являющихся прекурсорами наркотических средств и психотропных веществ, согласно приложению N 19;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02.06.2016 N 57)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вещества, согласно приложению N 20;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30.08.2016 N 99)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лекарственных средств согласно приложению N 21;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30.08.2016 N 99)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Положением о ввозе на таможенную территорию Евразийского экономического союза средств защиты растений и других стойких органических загрязнителей, подлежащих использованию в исследованиях лабораторного масштаба, а также в качестве эталонного стандарта, согласно приложению N 22.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13.06.2018 N 100)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4. Лицензии на экспорт и (или) импорт, заключения (разрешительные документы) на ввоз и (или) вывоз товаров, иные документы, выданные до вступления в силу настоящего Решения соответствующими органами государств - членов Евразийского экономического союза в целях реализации мер нетарифного регулирования, а также нотификации, сведения о которых внесены в единый реестр нотификаций о характеристиках шифровальных (криптографических) средств и товаров, их содержащих, до вступления в силу настоящего Решения, являются действительными до окончания срока их действия.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5. Признать утратившими силу решения Комиссии Таможенного союза и Коллегии Евразийской экономической комиссии по перечню согласно приложению N 23.</w:t>
      </w:r>
    </w:p>
    <w:p w:rsidR="00B23B5F" w:rsidRDefault="00B23B5F">
      <w:pPr>
        <w:pStyle w:val="ConsPlusNormal"/>
        <w:jc w:val="both"/>
      </w:pPr>
      <w:r>
        <w:t>(в ред. Решений Коллегии ЕЭК от 06.10.2015 N 131, от 02.06.2016 N 57, от 30.08.2016 N 99, от 13.06.2018 N 100)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6. Настоящее Решение вступает в силу по истечении 30 календарных дней с даты его официального опубликования.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</w:pPr>
      <w:r>
        <w:t>Председатель Коллегии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23B5F">
        <w:tc>
          <w:tcPr>
            <w:tcW w:w="5103" w:type="dxa"/>
          </w:tcPr>
          <w:p w:rsidR="00B23B5F" w:rsidRDefault="00B23B5F">
            <w:pPr>
              <w:pStyle w:val="ConsPlusNormal"/>
              <w:spacing w:before="200"/>
            </w:pPr>
            <w:r>
              <w:t>Евразийской экономической комиссии</w:t>
            </w:r>
          </w:p>
        </w:tc>
        <w:tc>
          <w:tcPr>
            <w:tcW w:w="5103" w:type="dxa"/>
          </w:tcPr>
          <w:p w:rsidR="00B23B5F" w:rsidRDefault="00B23B5F">
            <w:pPr>
              <w:pStyle w:val="ConsPlusNormal"/>
              <w:spacing w:before="200"/>
              <w:jc w:val="right"/>
            </w:pPr>
            <w:r>
              <w:t>В.Христенко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95466A" w:rsidRDefault="0095466A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</w:p>
    <w:p w:rsidR="001D0399" w:rsidRDefault="001D0399" w:rsidP="001D0399">
      <w:pPr>
        <w:pStyle w:val="ConsPlusNormal"/>
        <w:jc w:val="center"/>
      </w:pPr>
      <w:r>
        <w:lastRenderedPageBreak/>
        <w:t>ПЕРЕЧЕНЬ</w:t>
      </w:r>
    </w:p>
    <w:p w:rsidR="001D0399" w:rsidRDefault="001D0399" w:rsidP="001D0399">
      <w:pPr>
        <w:pStyle w:val="ConsPlusNormal"/>
        <w:jc w:val="center"/>
      </w:pPr>
      <w:r>
        <w:t>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 w:rsidR="001D0399" w:rsidRDefault="001D0399">
      <w:pPr>
        <w:pStyle w:val="ConsPlusNormal"/>
        <w:jc w:val="both"/>
      </w:pPr>
    </w:p>
    <w:p w:rsidR="00B23B5F" w:rsidRDefault="00B23B5F">
      <w:pPr>
        <w:pStyle w:val="ConsPlusNormal"/>
        <w:jc w:val="center"/>
        <w:outlineLvl w:val="1"/>
      </w:pPr>
      <w:bookmarkStart w:id="2" w:name="Par21729"/>
      <w:bookmarkEnd w:id="2"/>
      <w:r>
        <w:t>2.16. Радиоэлектронные средства и (или) высокочастотные устройства гражданского назначения, в том числе встроенные либо входящие в состав других товаров</w:t>
      </w:r>
    </w:p>
    <w:p w:rsidR="00B23B5F" w:rsidRDefault="00B23B5F">
      <w:pPr>
        <w:pStyle w:val="ConsPlusNormal"/>
        <w:jc w:val="center"/>
      </w:pPr>
      <w:r>
        <w:t>(введены Решением Коллегии ЕЭК от 06.10.2015 N 131)</w:t>
      </w:r>
    </w:p>
    <w:p w:rsidR="00B23B5F" w:rsidRDefault="00B23B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19"/>
      </w:tblGrid>
      <w:tr w:rsidR="00B23B5F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Код ТН ВЭД ЕАЭС</w:t>
            </w:r>
          </w:p>
        </w:tc>
      </w:tr>
      <w:tr w:rsidR="00B23B5F">
        <w:tc>
          <w:tcPr>
            <w:tcW w:w="6350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1. Высокочастотные устройства, оборудование и аппаратура промышленного, научного и медицинского назначения, включающие в себя высокочастотные генераторы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из 8419</w:t>
            </w:r>
            <w:r>
              <w:br/>
              <w:t>из 8514</w:t>
            </w:r>
            <w:r>
              <w:br/>
              <w:t>из 8540</w:t>
            </w:r>
            <w:r>
              <w:br/>
              <w:t>из 8543</w:t>
            </w:r>
            <w:r>
              <w:br/>
              <w:t>из 9018</w:t>
            </w:r>
            <w:r>
              <w:br/>
              <w:t>из 9027</w:t>
            </w:r>
          </w:p>
        </w:tc>
      </w:tr>
      <w:tr w:rsidR="00B23B5F">
        <w:tc>
          <w:tcPr>
            <w:tcW w:w="6350" w:type="dxa"/>
          </w:tcPr>
          <w:p w:rsidR="00B23B5F" w:rsidRDefault="00B23B5F">
            <w:pPr>
              <w:pStyle w:val="ConsPlusNormal"/>
            </w:pPr>
            <w:r>
              <w:t>2. Радиоэлектронные средства различного применения для передачи или приема голоса, изображения, данных и (или) других видов информации</w:t>
            </w:r>
          </w:p>
        </w:tc>
        <w:tc>
          <w:tcPr>
            <w:tcW w:w="2719" w:type="dxa"/>
          </w:tcPr>
          <w:p w:rsidR="00B23B5F" w:rsidRDefault="00B23B5F">
            <w:pPr>
              <w:pStyle w:val="ConsPlusNormal"/>
            </w:pPr>
            <w:r>
              <w:t>из 8470</w:t>
            </w:r>
            <w:r>
              <w:br/>
              <w:t>из 8471</w:t>
            </w:r>
            <w:r>
              <w:br/>
              <w:t>из 8517</w:t>
            </w:r>
            <w:r>
              <w:br/>
              <w:t>из 8518</w:t>
            </w:r>
            <w:r>
              <w:br/>
              <w:t>из 8519</w:t>
            </w:r>
            <w:r>
              <w:br/>
              <w:t>из 8521</w:t>
            </w:r>
            <w:r>
              <w:br/>
              <w:t>из 8525</w:t>
            </w:r>
            <w:r>
              <w:br/>
              <w:t>из 8526</w:t>
            </w:r>
            <w:r>
              <w:br/>
              <w:t>из 8527</w:t>
            </w:r>
            <w:r>
              <w:br/>
              <w:t>из 8528</w:t>
            </w:r>
            <w:r>
              <w:br/>
              <w:t>из 8531</w:t>
            </w:r>
            <w:r>
              <w:br/>
              <w:t>из 90</w:t>
            </w:r>
          </w:p>
        </w:tc>
      </w:tr>
      <w:tr w:rsidR="00B23B5F">
        <w:tc>
          <w:tcPr>
            <w:tcW w:w="6350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3. Программно-аппаратные комплексы технического радиоконтроля, аппаратура приемная, предназначенная для обнаружения радиоэлектронных средств, являющихся источником электромагнитного излучения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из 8526</w:t>
            </w:r>
            <w:r>
              <w:br/>
              <w:t>из 8527</w:t>
            </w:r>
          </w:p>
        </w:tc>
      </w:tr>
    </w:tbl>
    <w:p w:rsidR="00B23B5F" w:rsidRDefault="00B23B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2"/>
      </w:tblGrid>
      <w:tr w:rsidR="00B23B5F">
        <w:tc>
          <w:tcPr>
            <w:tcW w:w="3118" w:type="dxa"/>
          </w:tcPr>
          <w:p w:rsidR="00B23B5F" w:rsidRDefault="00B23B5F">
            <w:pPr>
              <w:pStyle w:val="ConsPlusNormal"/>
              <w:ind w:left="283"/>
            </w:pPr>
            <w:r>
              <w:t>Примечания к разделу:</w:t>
            </w:r>
          </w:p>
        </w:tc>
        <w:tc>
          <w:tcPr>
            <w:tcW w:w="5952" w:type="dxa"/>
          </w:tcPr>
          <w:p w:rsidR="00B23B5F" w:rsidRDefault="00B23B5F">
            <w:pPr>
              <w:pStyle w:val="ConsPlusNormal"/>
            </w:pPr>
            <w:r>
              <w:t xml:space="preserve">1. Для целей настоящего раздела необходимо руководствоваться как кодом ТН ВЭД ЕАЭС,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N 15 к Решению Коллегии Евразийской экономической комиссии от 21 апреля 2015 г. N 30), </w:t>
            </w:r>
            <w:r>
              <w:br/>
              <w:t>и единого реестра радиоэлектронных средств и высокочастотных устройств,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документа).</w:t>
            </w:r>
            <w:r>
              <w:br/>
              <w:t>2. Разрешительный порядок применяется в отношении указанных в настоящем разделе радиоэлектронных средств и (или) высокочастотных устройств, которые встроены либо входят в состав товаров, вне зависимости от кодов ТН ВЭД ЕАЭС.</w:t>
            </w:r>
          </w:p>
        </w:tc>
      </w:tr>
    </w:tbl>
    <w:p w:rsidR="00B23B5F" w:rsidRDefault="00B23B5F">
      <w:pPr>
        <w:pStyle w:val="ConsPlusNormal"/>
        <w:jc w:val="both"/>
      </w:pPr>
    </w:p>
    <w:p w:rsidR="001D0399" w:rsidRDefault="001D0399">
      <w:pPr>
        <w:pStyle w:val="ConsPlusNormal"/>
        <w:jc w:val="right"/>
        <w:outlineLvl w:val="0"/>
      </w:pPr>
    </w:p>
    <w:p w:rsidR="00B23B5F" w:rsidRDefault="00B23B5F">
      <w:pPr>
        <w:pStyle w:val="ConsPlusNormal"/>
        <w:jc w:val="right"/>
        <w:outlineLvl w:val="0"/>
      </w:pPr>
      <w:r>
        <w:lastRenderedPageBreak/>
        <w:t>Приложение N 15</w:t>
      </w:r>
    </w:p>
    <w:p w:rsidR="00B23B5F" w:rsidRDefault="00B23B5F">
      <w:pPr>
        <w:pStyle w:val="ConsPlusNormal"/>
        <w:jc w:val="right"/>
      </w:pPr>
      <w:r>
        <w:t>к Решению Коллегии</w:t>
      </w:r>
    </w:p>
    <w:p w:rsidR="00B23B5F" w:rsidRDefault="00B23B5F">
      <w:pPr>
        <w:pStyle w:val="ConsPlusNormal"/>
        <w:jc w:val="right"/>
      </w:pPr>
      <w:r>
        <w:t>Евразийской экономической комиссии</w:t>
      </w:r>
    </w:p>
    <w:p w:rsidR="00B23B5F" w:rsidRDefault="00B23B5F">
      <w:pPr>
        <w:pStyle w:val="ConsPlusNormal"/>
        <w:jc w:val="right"/>
      </w:pPr>
      <w:r>
        <w:t>от 21 апреля 2015 г. N 30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Title"/>
        <w:jc w:val="center"/>
      </w:pPr>
      <w:bookmarkStart w:id="3" w:name="Par24034"/>
      <w:bookmarkEnd w:id="3"/>
      <w:r>
        <w:t>ПОЛОЖЕНИЕ</w:t>
      </w:r>
    </w:p>
    <w:p w:rsidR="00B23B5F" w:rsidRDefault="00B23B5F">
      <w:pPr>
        <w:pStyle w:val="ConsPlusTitle"/>
        <w:jc w:val="center"/>
      </w:pPr>
      <w:r>
        <w:t>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 w:rsidR="00B23B5F" w:rsidRDefault="00B23B5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23B5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Коллегии ЕЭК от 04.09.2017 N 114,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09.07.2019 N 114)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center"/>
        <w:outlineLvl w:val="1"/>
      </w:pPr>
      <w:r>
        <w:rPr>
          <w:b/>
          <w:bCs/>
        </w:rPr>
        <w:t>I. Общие положения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1. Настоящее Положение определяет порядок ввоза на таможенную территорию Евразийского экономического союза (далее соответственно - ввоз, Союз) радиоэлектронных средств и высокочастотных устройств гражданского назначения, в том числе встроенных либо входящих в состав других товаров, включенных в раздел 2.16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N 7 к Договору о Евразийском экономическом союзе от 29 мая 2014 года) (далее соответственно - радиоэлектронные средства и (или) высокочастотные устройства, единый перечень).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2. Ввоз радиоэлектронных средств и (или) высокочастотных устройств в случае наличия их в составе специальных технических средств, предназначенных для негласного получения информации, включенных в раздел 2.17 единого перечня,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средств, предназначенных для негласного получения информации (приложение N 16 к Решению Коллегии Евразийской экономической комиссии от 21 апреля 2015 г. N 30).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3. Для целей настоящего Положения используемые понятия означают следующее: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"высокочастотные устройства" - оборудование или приборы, предназначенные для генерирования и использования радиочастотной энергии в промышленных, научных, медицинских, бытовых или иных целях, за исключением применения в области электросвязи;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"единый реестр" - единый реестр радиоэлектронных средств и высокочастотных устройств, при ввозе которых на таможенную территорию Союза не требуется представление лицензии или заключения (разрешительного документа), формируемый в порядке согласно приложению N 1;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"радиоэлектронные средства" - технические средства, предназначенные для передачи и (или) приема радиоволн, состоящие из одного или нескольких передающих и (или) приемных устройств либо комбинации таких устройств, включающие в себя вспомогательное оборудование.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(приложение N 7 к Договору о Евразийском экономическом союзе от 29 мая 2014 года) и международными договорами, входящими в право Союза.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4. Ввоз радиоэлектронных средств и (или) высокочастотных устройств осуществляется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N 199 (далее - лицензия), или заключения (разрешительного документа), составленного по форме, утвержденной Решением Коллегии Евразийской экономической комиссии от 16 мая 2012 г. N 45 (далее - заключение (разрешительный документ)), либо при наличии сведений о том, что радиоэлектронные средства и (или) высокочастотные устройства включены в единый реестр (при наличии регистрационного номера в едином реестре) (далее - сведения о включении в единый реестр).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lastRenderedPageBreak/>
        <w:t>5. Ввоз радиоэлектронных средств и (или) высокочастотных устройств без лицензии, заключения (разрешительного документа) или сведений о включении в единый реестр осуществляется в следующих случаях: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радиоэлектронные средства и (или) высокочастотные устройства включены в перечень согласно приложению N 2;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радиоэлектронные средства и (или) высокочастотные устройства включены в состав бортового оборудования воздушных, водных судов;</w:t>
      </w:r>
    </w:p>
    <w:p w:rsidR="00B23B5F" w:rsidRDefault="00B23B5F">
      <w:pPr>
        <w:pStyle w:val="ConsPlusNormal"/>
        <w:jc w:val="both"/>
      </w:pPr>
      <w:r>
        <w:t>(абзац введен Решением Коллегии ЕЭК от 09.07.2019 N 114)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радиоэлектронные средства и (или) высокочастотные устройства установлены на транспортных средствах международной перевозки (включая порожние), зарегистрированных на территориях третьих государств;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радиоэлектронные средства и (или) высокочастотные устройства ввозятся без права их эксплуатации (применения, использования) на таможенной территории Союза, предназначены для ремонта или установки на транспортные и другие технические средства, изготовляемые на таможенной территории Союза, и подлежат обратному вывозу с таможенной территории Союза в составе транспортных и других технических средств, полученных в результате изготовления, или после ремонта радиоэлектронных средств и (или) высокочастотных устройств.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6. Ввоз радиоэлектронных средств и (или)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- члена Союза (далее - государство-член) заключения (разрешительного документа). При ввозе радиоэлектронных средств и (или) высокочастотных устройств, содержащихся в едином реестре или включенных в перечень, предусмотренный приложением N 2 к настоящему Положению, получение и представление таможенному органу государства-члена заключения (разрешительного документа) не требуются.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center"/>
        <w:outlineLvl w:val="1"/>
      </w:pPr>
      <w:r>
        <w:rPr>
          <w:b/>
          <w:bCs/>
        </w:rPr>
        <w:t>II. Помещение под таможенные процедуры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bookmarkStart w:id="4" w:name="Par24059"/>
      <w:bookmarkEnd w:id="4"/>
      <w:r>
        <w:t>7. Помещение радиоэлектронных средств и (или)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государства-члена лицензии или сведений о включении в единый реестр.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5" w:name="Par24060"/>
      <w:bookmarkEnd w:id="5"/>
      <w:r>
        <w:t>8. Помещение радиоэлектронных средств и (или) высокочастотных устройств под таможенные процедуры переработки для внутреннего потребления, переработки на таможенной территории, временного ввоза (допуска), свободной таможенной зоны, свободного склада,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государства-члена заключения (разрешительного документа) или сведений о включении в единый реестр, если иное не установлено настоящим Положением.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В иных случаях при помещении под таможенную процедуру реимпорта радиоэлектронных средств и (или) высокочастотных устройств представление таможенному органу государства-члена заключения (разрешительного документа) или сведений о включении в единый реестр не требуется.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9. Представление таможенному органу государства-члена лицензии, заключения (разрешительного документа) или сведений о включении в единый реестр не требуется в следующих случаях: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а) помещение под таможенные процедуры радиоэлектронных средств и (или) высокочастотных устройств, включенных в перечень, предусмотренный приложением N 2 к настоящему Положению;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б) помещение радиоэлектронных средств и (или) высокочастотных устройств под таможенные процедуры таможенного транзита, таможенного склада, уничтожения, беспошлинной торговли, отказа в пользу государства;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 xml:space="preserve">в) помещение под таможенную процедуру временного ввоза (допуска) радиоэлектронных средств и (или) высокочастотных устройств в составе запасных частей и оборудования, предназначенных для установки на воздушные, водные суда для замены неисправных радиоэлектронных средств и (или) высокочастотных устройств из состава бортового оборудования, с последующим вывозом с таможенной </w:t>
      </w:r>
      <w:r>
        <w:lastRenderedPageBreak/>
        <w:t>территории Союза замененных (снятых) радиоэлектронных средств и (или) высокочастотных устройств.</w:t>
      </w:r>
    </w:p>
    <w:p w:rsidR="00B23B5F" w:rsidRDefault="00B23B5F">
      <w:pPr>
        <w:pStyle w:val="ConsPlusNormal"/>
        <w:jc w:val="both"/>
      </w:pPr>
      <w:r>
        <w:t>(в ред. Решения Коллегии ЕЭК от 09.07.2019 N 114)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10. В случае если в состав радиоэлектронных средств и (или) высокочастотных устройств входят шифровальные (криптографические) средства, включенные в раздел 2.19 единого перечня, или радиоэлектронные средства и (или) высокочастотные устройства входят в состав продукции, содержащей шифровальные (криптографические) средства, то: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а) при их помещении под таможенные процедуры, указанные в пунктах 7 и 8 настоящего Положения, дополнительно к сведениям о включении в единый реестр, представляемым в соответствии с пунктами 7 и 8 настоящего Положения, или заключению (разрешительному документу), представляемому в соответствии с пунктом 8 настоящего Положения, таможенному органу государства-члена представляются документы или сведения, предусмотренные пунктом 12 настоящего Положения;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б) при их помещении под таможенные процедуры таможенного склада, беспошлинной торговли, отказа в пользу государства, таможенного транзита для перевозки от таможенного органа в месте прибытия на таможенную территорию Союза до внутреннего таможенного органа,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государства-члена представляются документы или сведения,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N 9 к Решению Коллегии Евразийской экономической комиссии от 21 апреля 2015 г. N 30) (далее - Положение о ввозе и вывозе шифровальных (криптографических) средств).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center"/>
        <w:outlineLvl w:val="1"/>
      </w:pPr>
      <w:r>
        <w:rPr>
          <w:b/>
          <w:bCs/>
        </w:rPr>
        <w:t>III. Выдача лицензии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bookmarkStart w:id="6" w:name="Par24073"/>
      <w:bookmarkEnd w:id="6"/>
      <w:r>
        <w:t>11. Для оформления лицензии юридические лица и физические лица, зарегистрированные в качестве индивидуальных предпринимателей (далее - заявители),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1 - 5 пункта 10 Правил выдачи лицензий и разрешений на экспорт и (или) импорт товаров (приложение к приложению N 7 к Договору о Евразийском экономическом союзе от 29 мая 2014 года) (далее - Правила), а также в соответствии с подпунктом 6 пункта 10 Правил следующие документы и сведения: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а) 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7" w:name="Par24075"/>
      <w:bookmarkEnd w:id="7"/>
      <w:r>
        <w:t>б) иные документы и сведения, предусмотренные законодательством государства-члена.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8" w:name="Par24076"/>
      <w:bookmarkEnd w:id="8"/>
      <w:r>
        <w:t>12. В случае если в состав ввозимых радиоэлектронных средств и (или) высокочастотных устройств входят шифровальные (криптографические) средства, включенные в раздел 2.19 единого перечня, или если радиоэлектронные средства и (или) высокочастотные устройства входят в состав продукции, содержащей шифровальные (криптографические) средства, заявитель дополнительно представляет в соответствии с Положением о ввозе и вывозе шифровальных (криптографических) средств либо заключение (разрешительный документ) на ввоз шифровальных (криптографических) средств, выданное органом государственной власти государства-члена в области обеспечения государственной (национальной) безопасности, либо сведения о зарегистрированной нотификации (номер, дата).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13. Копии документов, представляемые заявителем, должны быть заверены в порядке, установленном пунктом 11 Правил.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14.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 - согласующий орган), то такое согласование осуществляется в порядке, предусмотренном законодательством этого государства-члена.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Заявителем, если это предусмотрено законодательством государства-члена, в согласующий орган представляются документы, указанные в пункте 11 настоящего Положения. При этом в уполномоченный орган документы, указанные в подпункте "б" пункта 11 настоящего Положения, не представляются.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lastRenderedPageBreak/>
        <w:t>Согласование может осуществляться посредством выдачи заключения (разрешительного документа).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15. В выдаче лицензии отказывается при наличии оснований, предусмотренных подпунктами 1 - 4 пункта 14 Правил, а также в соответствии с подпунктом 6 пункта 14 Правил - в случае отказа согласующего органа в согласовании заявления на выдачу лицензии.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center"/>
        <w:outlineLvl w:val="1"/>
      </w:pPr>
      <w:r>
        <w:rPr>
          <w:b/>
          <w:bCs/>
        </w:rPr>
        <w:t>IV. Выдача заключения (разрешительного документа)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16. Выдача заключения (разрешительного документа) осуществляется уполномоченным на выдачу заключений (разрешительных документов) органом государства-члена в порядке, определенном законодательством этого государства.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9" w:name="Par24086"/>
      <w:bookmarkEnd w:id="9"/>
      <w:r>
        <w:t>17. Заключение (разрешительный документ) выдается при представлении в уполномоченный на выдачу заключений (разрешительных документов) орган государства-члена следующих документов и сведений: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а) заявителем: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10" w:name="Par24088"/>
      <w:bookmarkEnd w:id="10"/>
      <w:r>
        <w:t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B23B5F" w:rsidRDefault="00B23B5F">
      <w:pPr>
        <w:pStyle w:val="ConsPlusNormal"/>
        <w:jc w:val="both"/>
      </w:pPr>
      <w:r>
        <w:t>(в ред. Решения Коллегии ЕЭК от 04.09.2017 N 114)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иные документы и сведения, предусмотренные законодательством государства-члена;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б) физическим лицом: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проект заключения (разрешительного документа), оформленный в соответствии с методическими указаниями, предусмотренными абзацем вторым подпункта "а" настоящего пункта;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иные документы и сведения, предусмотренные законодательством государства-члена.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18. В выдаче заключения (разрешительного документа) отказывается при наличии следующих оснований: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а) непредставление документов, предусмотренных пунктом 17 настоящего Положения;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б) несоответствие технических характеристик ввозимых радиоэлектронных средств и (или) высокочастотных устройств техническим характеристикам, предусмотренным законодательством государства-члена;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в) наличие неполных или недостоверных сведений в документах, представленных для получения заключения (разрешительного документа);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г) иные основания, предусмотренные законодательством государства-члена.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right"/>
        <w:outlineLvl w:val="1"/>
      </w:pPr>
      <w:r>
        <w:lastRenderedPageBreak/>
        <w:t>Приложение N 1</w:t>
      </w:r>
    </w:p>
    <w:p w:rsidR="00B23B5F" w:rsidRDefault="00B23B5F">
      <w:pPr>
        <w:pStyle w:val="ConsPlusNormal"/>
        <w:jc w:val="right"/>
      </w:pPr>
      <w:r>
        <w:t>к Положению о ввозе</w:t>
      </w:r>
      <w:r>
        <w:br/>
        <w:t>на таможенную территорию</w:t>
      </w:r>
    </w:p>
    <w:p w:rsidR="00B23B5F" w:rsidRDefault="00B23B5F">
      <w:pPr>
        <w:pStyle w:val="ConsPlusNormal"/>
        <w:jc w:val="right"/>
      </w:pPr>
      <w:r>
        <w:t>Евразийского экономического</w:t>
      </w:r>
    </w:p>
    <w:p w:rsidR="00B23B5F" w:rsidRDefault="00B23B5F">
      <w:pPr>
        <w:pStyle w:val="ConsPlusNormal"/>
        <w:jc w:val="right"/>
      </w:pPr>
      <w:r>
        <w:t>союза радиоэлектронных средств и</w:t>
      </w:r>
    </w:p>
    <w:p w:rsidR="00B23B5F" w:rsidRDefault="00B23B5F">
      <w:pPr>
        <w:pStyle w:val="ConsPlusNormal"/>
        <w:jc w:val="right"/>
      </w:pPr>
      <w:r>
        <w:t>высокочастотных устройств</w:t>
      </w:r>
    </w:p>
    <w:p w:rsidR="00B23B5F" w:rsidRDefault="00B23B5F">
      <w:pPr>
        <w:pStyle w:val="ConsPlusNormal"/>
        <w:jc w:val="right"/>
      </w:pPr>
      <w:r>
        <w:t>гражданского назначения, в том</w:t>
      </w:r>
    </w:p>
    <w:p w:rsidR="00B23B5F" w:rsidRDefault="00B23B5F">
      <w:pPr>
        <w:pStyle w:val="ConsPlusNormal"/>
        <w:jc w:val="right"/>
      </w:pPr>
      <w:r>
        <w:t>числе встроенных либо входящих</w:t>
      </w:r>
    </w:p>
    <w:p w:rsidR="00B23B5F" w:rsidRDefault="00B23B5F">
      <w:pPr>
        <w:pStyle w:val="ConsPlusNormal"/>
        <w:jc w:val="right"/>
      </w:pPr>
      <w:r>
        <w:t>в состав других товаров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Title"/>
        <w:jc w:val="center"/>
      </w:pPr>
      <w:bookmarkStart w:id="11" w:name="Par24115"/>
      <w:bookmarkEnd w:id="11"/>
      <w:r>
        <w:t>ПОРЯДОК</w:t>
      </w:r>
    </w:p>
    <w:p w:rsidR="00B23B5F" w:rsidRDefault="00B23B5F">
      <w:pPr>
        <w:pStyle w:val="ConsPlusTitle"/>
        <w:jc w:val="center"/>
      </w:pPr>
      <w:r>
        <w:t>ФОРМИРОВАНИЯ ЕДИНОГО РЕЕСТРА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1.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 (далее соответственно - единый реестр, радиоэлектронные средства и (или) высокочастотные устройства), формируется Евразийской экономической комиссией на основе представляемых государственными органами в области связи государств - членов Евразийского экономического союза (далее соответственно - Комиссия, государственные органы, государства-члены, Союз) предложений, содержащих сведения о радиоэлектронных средствах и (или) высокочастотных устройствах, при ввозе которых на таможенную территорию Союза не требуется представление лицензии или заключения (разрешительного документа).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2. Единый реестр размещается на официальном сайте Союза в информационно-телекоммуникационной сети "Интернет".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3. Сведения о радиоэлектронных средствах и (или) высокочастотных устройствах в виде файла в формате *.xls представляются государственными органами в Комиссию с официальным письмом (далее - предложение) посредством почтовой и электронной связи.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Описание структуры единого реестра и файла данных для внесения в единый реестр, представляемого в Комиссию для внесения в единый реестр, приведено в таблице.</w:t>
      </w:r>
    </w:p>
    <w:p w:rsidR="00B23B5F" w:rsidRDefault="00B23B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777"/>
        <w:gridCol w:w="1984"/>
      </w:tblGrid>
      <w:tr w:rsidR="00B23B5F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Наименование поля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Тип поля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Смысловое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Обязательность</w:t>
            </w:r>
          </w:p>
        </w:tc>
      </w:tr>
      <w:tr w:rsidR="00B23B5F">
        <w:tc>
          <w:tcPr>
            <w:tcW w:w="2154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1. Номер в едином реестре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символьный, в формате:</w:t>
            </w:r>
            <w:r>
              <w:br/>
              <w:t>XXNNNNNNNNNN,</w:t>
            </w:r>
            <w:r>
              <w:br/>
              <w:t>где XX - код страны &lt;*&gt;;</w:t>
            </w:r>
            <w:r>
              <w:br/>
              <w:t>NNNNNNNNNN - порядковый номер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заполняется Комиссией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2. Дата включения в единый реестр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дата в формате ДД.ММ.ГГГГ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дата включения в единый реестр радиоэлектронного или высокочастотного устройства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заполняется Комиссией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3. Название государства-члена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 xml:space="preserve">название государства-члена, предложившего включение сведений о радиоэлектронном средстве или высокочастотном </w:t>
            </w:r>
            <w:r>
              <w:lastRenderedPageBreak/>
              <w:t>устройстве в единый реестр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lastRenderedPageBreak/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lastRenderedPageBreak/>
              <w:t>4. Наименование и тип радиоэлектронного средства или высокочастотного устройства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наименование и тип радиоэлектронного средства или высокочастотного устройства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5. Модель радиоэлектронного средства или высокочастотного устройства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наименование модели радиоэлектронного средства или высокочастотного устройства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6. Полоса радиочастот, радиочастотный канал или радиочастота радиоэлектронного средства или высокочастотного устройства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полоса радиочастот, радиочастотный канал или радиочастота радиоэлектронного средства или высокочастотного устройства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7. Единица измерения частоты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единица измерения частоты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8. Мощность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мощность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9. Единица измерения мощности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единица измерения мощности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10. Изготовитель радиоэлектронного средства или высокочастотного устройства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наименование изготовителя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11. Страна изготовителя радиоэлектронного средства или высокочастотного устройства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название страны изготовителя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12. Иная техническая информация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символьный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дополнительная техническая информация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нет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13. Статус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логический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статус записи в едином реестре: действует/аннулирована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да</w:t>
            </w:r>
          </w:p>
        </w:tc>
      </w:tr>
      <w:tr w:rsidR="00B23B5F"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14. Срок действия</w:t>
            </w:r>
          </w:p>
        </w:tc>
        <w:tc>
          <w:tcPr>
            <w:tcW w:w="2154" w:type="dxa"/>
          </w:tcPr>
          <w:p w:rsidR="00B23B5F" w:rsidRDefault="00B23B5F">
            <w:pPr>
              <w:pStyle w:val="ConsPlusNormal"/>
            </w:pPr>
            <w:r>
              <w:t>дата в формате ДД.ММ.ГГГГ</w:t>
            </w:r>
          </w:p>
        </w:tc>
        <w:tc>
          <w:tcPr>
            <w:tcW w:w="2777" w:type="dxa"/>
          </w:tcPr>
          <w:p w:rsidR="00B23B5F" w:rsidRDefault="00B23B5F">
            <w:pPr>
              <w:pStyle w:val="ConsPlusNormal"/>
            </w:pPr>
            <w:r>
              <w:t>дата исключения радиоэлектронного средства или высокочастотного устройства из единого реестра</w:t>
            </w:r>
          </w:p>
        </w:tc>
        <w:tc>
          <w:tcPr>
            <w:tcW w:w="1984" w:type="dxa"/>
          </w:tcPr>
          <w:p w:rsidR="00B23B5F" w:rsidRDefault="00B23B5F">
            <w:pPr>
              <w:pStyle w:val="ConsPlusNormal"/>
            </w:pPr>
            <w:r>
              <w:t>заполняется государственным органом или Комиссией</w:t>
            </w:r>
          </w:p>
        </w:tc>
      </w:tr>
      <w:tr w:rsidR="00B23B5F">
        <w:tc>
          <w:tcPr>
            <w:tcW w:w="2154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 xml:space="preserve">15. Возможность </w:t>
            </w:r>
            <w:r>
              <w:lastRenderedPageBreak/>
              <w:t>ввоза на территорию Республики Беларусь физическими лицами для личного пользования &lt;**&gt;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lastRenderedPageBreak/>
              <w:t>логический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 xml:space="preserve">статус записи в едином </w:t>
            </w:r>
            <w:r>
              <w:lastRenderedPageBreak/>
              <w:t>реестре: да/нет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lastRenderedPageBreak/>
              <w:t>да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--------------------------------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12" w:name="Par24189"/>
      <w:bookmarkEnd w:id="12"/>
      <w:r>
        <w:t>&lt;*&gt; XX - код страны в соответствии с классификатором стран мира (АМ - Республика Армения, BY - Республика Беларусь, KZ - Республика Казахстан, KG - Кыргызская Республика, RU - Российская Федерация).</w:t>
      </w:r>
    </w:p>
    <w:p w:rsidR="00B23B5F" w:rsidRDefault="00B23B5F">
      <w:pPr>
        <w:pStyle w:val="ConsPlusNormal"/>
        <w:spacing w:before="200"/>
        <w:ind w:firstLine="540"/>
        <w:jc w:val="both"/>
      </w:pPr>
      <w:bookmarkStart w:id="13" w:name="Par24190"/>
      <w:bookmarkEnd w:id="13"/>
      <w:r>
        <w:t>&lt;**&gt; Применяется в отношении радиоэлектронных средств и (или) высокочастотных устройств, ввозимых на территорию Республики Беларусь физическими лицами в качестве товаров для личного пользования.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4. Государственные органы несут ответственность за полноту и достоверность представляемых сведений.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5. Полученное от государственного органа предложение Комиссия направляет посредством электронной связи государственным органам других государств-членов.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Государственные органы других государств-членов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6. Включение сведений о радиоэлектронных средствах и (или) высокочастотных устройствах в единый реестр осуществляется на срок, согласованный государственными органами, но не более 10 лет с даты включения их в единый реестр.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7.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органа, содержащего обоснование исключения этих сведений из единого реестра (с указанием соответствующего номера в едином реестре, наименования, модели и данных о производителе радиоэлектронного средства или высокочастотного устройства).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Полученное от государственного органа предложение об исключении из единого реестра радиоэлектронных средств и (или) высокочастотных устройств Комиссия направляет посредством электронной связи государственным органам других государств-членов.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8. Комиссия и государственные органы информируют друг друга об электронных адресах, используемых для приема данных.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Комиссия при необходимости организовывает консультации представителей государственных органов по вопросам ведения единого реестра.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9. Сведения о радиоэлектронных средствах и (или) высокочастотных устройствах, содержащиеся в едином реестре, указываются в таможенной декларации на товары в соответствии с единым реестром с указанием их регистрационного номера.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1D0399" w:rsidRDefault="001D0399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right"/>
        <w:outlineLvl w:val="1"/>
      </w:pPr>
      <w:r>
        <w:lastRenderedPageBreak/>
        <w:t>Приложение N 2</w:t>
      </w:r>
    </w:p>
    <w:p w:rsidR="00B23B5F" w:rsidRDefault="00B23B5F">
      <w:pPr>
        <w:pStyle w:val="ConsPlusNormal"/>
        <w:jc w:val="right"/>
      </w:pPr>
      <w:r>
        <w:t>к Положению о ввозе</w:t>
      </w:r>
    </w:p>
    <w:p w:rsidR="00B23B5F" w:rsidRDefault="00B23B5F">
      <w:pPr>
        <w:pStyle w:val="ConsPlusNormal"/>
        <w:jc w:val="right"/>
      </w:pPr>
      <w:r>
        <w:t>на таможенную территорию</w:t>
      </w:r>
    </w:p>
    <w:p w:rsidR="00B23B5F" w:rsidRDefault="00B23B5F">
      <w:pPr>
        <w:pStyle w:val="ConsPlusNormal"/>
        <w:jc w:val="right"/>
      </w:pPr>
      <w:r>
        <w:t>Евразийского экономического</w:t>
      </w:r>
    </w:p>
    <w:p w:rsidR="00B23B5F" w:rsidRDefault="00B23B5F">
      <w:pPr>
        <w:pStyle w:val="ConsPlusNormal"/>
        <w:jc w:val="right"/>
      </w:pPr>
      <w:r>
        <w:t>союза радиоэлектронных средств и</w:t>
      </w:r>
    </w:p>
    <w:p w:rsidR="00B23B5F" w:rsidRDefault="00B23B5F">
      <w:pPr>
        <w:pStyle w:val="ConsPlusNormal"/>
        <w:jc w:val="right"/>
      </w:pPr>
      <w:r>
        <w:t>высокочастотных устройств</w:t>
      </w:r>
    </w:p>
    <w:p w:rsidR="00B23B5F" w:rsidRDefault="00B23B5F">
      <w:pPr>
        <w:pStyle w:val="ConsPlusNormal"/>
        <w:jc w:val="right"/>
      </w:pPr>
      <w:r>
        <w:t>гражданского назначения, в том</w:t>
      </w:r>
    </w:p>
    <w:p w:rsidR="00B23B5F" w:rsidRDefault="00B23B5F">
      <w:pPr>
        <w:pStyle w:val="ConsPlusNormal"/>
        <w:jc w:val="right"/>
      </w:pPr>
      <w:r>
        <w:t>числе встроенных либо входящих</w:t>
      </w:r>
    </w:p>
    <w:p w:rsidR="00B23B5F" w:rsidRDefault="00B23B5F">
      <w:pPr>
        <w:pStyle w:val="ConsPlusNormal"/>
        <w:jc w:val="right"/>
      </w:pPr>
      <w:r>
        <w:t>в состав других товаров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Title"/>
        <w:jc w:val="center"/>
      </w:pPr>
      <w:bookmarkStart w:id="14" w:name="Par24217"/>
      <w:bookmarkEnd w:id="14"/>
      <w:r>
        <w:t>ПЕРЕЧЕНЬ</w:t>
      </w:r>
    </w:p>
    <w:p w:rsidR="00B23B5F" w:rsidRDefault="00B23B5F">
      <w:pPr>
        <w:pStyle w:val="ConsPlusTitle"/>
        <w:jc w:val="center"/>
      </w:pPr>
      <w:r>
        <w:t>РАДИОЭЛЕКТРОННЫХ СРЕДСТВ И (ИЛИ)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ЛИЦЕНЗИИ, ЗАКЛЮЧЕНИЯ (РАЗРЕШИТЕЛЬНОГО ДОКУМЕНТА) ИЛИ СВЕДЕНИЙ ИЗ ЕДИНОГО РЕЕСТРА</w:t>
      </w:r>
    </w:p>
    <w:p w:rsidR="00B23B5F" w:rsidRDefault="00B23B5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23B5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Коллегии ЕЭК от 30.06.2017 N 75,</w:t>
            </w:r>
          </w:p>
          <w:p w:rsidR="00B23B5F" w:rsidRDefault="00B23B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24.02.2021 N 18)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ind w:firstLine="540"/>
        <w:jc w:val="both"/>
      </w:pPr>
      <w:r>
        <w:t>1. Бытовые СВЧ-печи и бытовые индукционные печи.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2. Высокочастотные устройства, использующие полосы радиочастот (радиочастоты и мощность) по перечню согласно приложению.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2-1. Магнитно-резонансные томографы, системы магнитно-резонансной томографии, работающие в полосах радиочастот: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13 560 кГц +/ - 1,0% или 13 424 - 13 696 кГц;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14 600 кГц +/ - 1,72% или 14 348 - 14 852 кГц;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40,68 МГц +/ - 1,0% или 40,2 - 41,1 МГц;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63,8 МГц +/ - 1,26% или 62,90 - 64,61 МГц;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81,36 МГц +/ - 1,0% или 80,5 - 82,2 МГц;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127,7 МГц +/ - 0,63% или 126,8 - 128,51 МГц.</w:t>
      </w:r>
    </w:p>
    <w:p w:rsidR="00B23B5F" w:rsidRDefault="00B23B5F">
      <w:pPr>
        <w:pStyle w:val="ConsPlusNormal"/>
        <w:jc w:val="both"/>
      </w:pPr>
      <w:r>
        <w:t>(пп. 2-1 введен Решением Коллегии ЕЭК от 24.02.2021 N 18)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3. Радиоэлектронные средства различного применения для передачи или приема голоса, изображения, данных и (или) других видов информации, в том числе встроенные либо входящие в состав других товаров: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1) оконечная (абонентская) аппаратура передающая, включающая в себя приемное устройство, для сотовых сетей связи (мобильные телефоны, а также модемы, применяемые в сотовых сетях связи), в том числе встроенная либо входящая в состав других устройств;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2) радиостанции, работающие в полосе радиочастот 433,075 - 434,790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3) радиостанции, работающие в полосе радиочастот 446,0 - 446,1 МГц, с выходной мощностью передатчика не более 0,5 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4) радиостанции диапазона 27 МГц, работающие в полосе радиочастот 26,965 - 27,860 МГц, с выходной мощностью передатчика не более 5 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 xml:space="preserve">5) аппаратура передающая, включающая в себя приемное устройство, малого радиуса действия стандарта IEEE 802.15, различных серий (модификаций), работающая в полосе радиочастот 2400 - 2483,5 МГц, с выходной мощностью передатчика не более 100 мВт, в том числе встроенная либо входящая в </w:t>
      </w:r>
      <w:r>
        <w:lastRenderedPageBreak/>
        <w:t>состав других устройств;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6) оконечная (абонентская) аппаратура передающая, включающая в себя приемное устройство, малого радиуса действия стандарта IEEE 802.11, различных серий (модификаций), работающая в полосе радиочастот 2400 - 2483,5 МГц, с выходной мощностью передатчика не более 100 мВт, в том числе встроенная либо входящая в состав других устройств;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7) оконечная (абонентская) аппаратура передающая, включающая в себя приемное устройство, малого радиуса действия стандарта IEEE 802.11, различных серий (модификаций), работающая в полосах радиочастот 5150 - 5350 МГц, 5650 - 5850 МГц и 57 - 66 ГГц, с выходной мощностью передатчика не более 100 мВт, в том числе встроенная либо входящая в состав других устройств;</w:t>
      </w:r>
    </w:p>
    <w:p w:rsidR="00B23B5F" w:rsidRDefault="00B23B5F">
      <w:pPr>
        <w:pStyle w:val="ConsPlusNormal"/>
        <w:jc w:val="both"/>
      </w:pPr>
      <w:r>
        <w:t>(в ред. Решения Коллегии ЕЭК от 30.06.2017 N 75)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8) оконечная (абонентская) аппаратура передающая, включающая в себя приемное устройство, стандартов IEEE 802.16 и IEEE 802.16e (WiMAX), работающая в полосах радиочастот 2500 - 2690 МГц и 3400 - 3600 МГц, с выходной мощностью передатчика не более 1 Вт, в том числе встроенная либо входящая в состав других устройств (полоса радиочастот 3400 - 3600 МГц не распространяется в отношении Российской Федерации);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9) радиоприемные средства, не содержащие радиоизлучающих устройств, в том числе встроенные либо входящие в состав других устройств;</w:t>
      </w:r>
    </w:p>
    <w:p w:rsidR="00B23B5F" w:rsidRDefault="00B23B5F">
      <w:pPr>
        <w:pStyle w:val="ConsPlusNormal"/>
        <w:jc w:val="both"/>
      </w:pPr>
      <w:r>
        <w:t>(пп. 9 в ред. Решения Коллегии ЕЭК от 24.02.2021 N 18)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10) базовые и абонентские блоки бесшнуровых телефонных аппаратов технологии "DECT", работающие в полосе радиочастот 1880 - 1900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11) устройства для обнаружения и спасения пострадавших от стихийных бедствий, работающие на радиочастоте 457 кГц;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12) устройства радиочастотной идентификации, работающие в полосе радиочастот 13,553 - 13,567 МГц;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13) радиоэлектронные средства для обработки штрихкодовых этикеток, RFID-меток и передачи информации, полученной с этих этикеток и меток, работающие в полосе радиочастот 433,05 - 434,79 (433,92 +/- 0,2%)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14) аппаратура (устройства) малого радиуса действия дистанционного управления и передачи телеметрии, телеуправления, сигнализации, передачи данных и других подобных передач, работающая в полосе радиочастот 433,050 - 434,79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15) устройства охранной радиосигнализации, автоматических радиопередатчиков для подачи сигналов бедствия: работающие на радиочастотах 26,945 МГц и 26,960 МГц, с выходной мощностью передатчика не более 2 Вт; работающие в полосе радиочастот 433,05 - 434,79 (433,92 +/- 0,2%) МГц, с выходной мощностью передатчика не более 5 мВт; работающие в полосе радиочастот 868 - 868,2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16) беспроводные системы приборов и аксессуаров (слуховых аппаратов и радиотренажеров) для людей с нарушением (дефектами) слуха, работающие в полосах радиочастот до 230 МГц и не использующие полосы радиочастот 108 - 144 МГц, 148 - 151 МГц, 162,7 - 163,2 и 168,5 - 174 МГц,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17) аппаратура радиоуправления моделями самолетов, катеров и т.п., работающая в полосах радиочастот 28,0 - 28,2 МГц и 40,66 - 40,70 МГц, с выходной мощностью передатчика не более 1 Вт и в полосе радиочастот 2400 - 2483,5 МГц, с выходной мощностью передатчика не более 10 мВт;</w:t>
      </w:r>
    </w:p>
    <w:p w:rsidR="00B23B5F" w:rsidRDefault="00B23B5F">
      <w:pPr>
        <w:pStyle w:val="ConsPlusNormal"/>
        <w:jc w:val="both"/>
      </w:pPr>
      <w:r>
        <w:t>(в ред. Решения Коллегии ЕЭК от 30.06.2017 N 75)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18) детские радиопереговорные устройства и радиоуправляемые игрушки, работающие в полосе радиочастот 26 957 - 27 283 кГц, с выходной мощностью передатчика не более 10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 xml:space="preserve">19) детские радиосигнальные и радиопереговорные устройства, а также устройства радиоконтроля за ребенком, работающие в полосах радиочастот 38,7 - 39,23 МГц и 40,66 - 40,7 МГц, с выходной мощностью передатчика не более 10 мВт, а также в полосе радиочастот 863,933 - 864,045 МГц, с выходной мощностью </w:t>
      </w:r>
      <w:r>
        <w:lastRenderedPageBreak/>
        <w:t>передатчика не более 2 мВт;</w:t>
      </w:r>
    </w:p>
    <w:p w:rsidR="00B23B5F" w:rsidRDefault="00B23B5F">
      <w:pPr>
        <w:pStyle w:val="ConsPlusNormal"/>
        <w:spacing w:before="200"/>
        <w:ind w:firstLine="540"/>
        <w:jc w:val="both"/>
      </w:pPr>
      <w:r>
        <w:t>20) радиомикрофоны, работающие в полосах радиочастот 66 - 74 МГц и 87,5 - 92 МГц, с допустимой мощностью излучения передатчика до 10 мВт включительно (типа "караоке").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right"/>
        <w:outlineLvl w:val="2"/>
      </w:pPr>
      <w:r>
        <w:t>Приложение</w:t>
      </w:r>
    </w:p>
    <w:p w:rsidR="00B23B5F" w:rsidRDefault="00B23B5F">
      <w:pPr>
        <w:pStyle w:val="ConsPlusNormal"/>
        <w:jc w:val="right"/>
      </w:pPr>
      <w:r>
        <w:t>к перечню радиоэлектронных средств</w:t>
      </w:r>
    </w:p>
    <w:p w:rsidR="00B23B5F" w:rsidRDefault="00B23B5F">
      <w:pPr>
        <w:pStyle w:val="ConsPlusNormal"/>
        <w:jc w:val="right"/>
      </w:pPr>
      <w:r>
        <w:t>и (или) высокочастотных устройств</w:t>
      </w:r>
    </w:p>
    <w:p w:rsidR="00B23B5F" w:rsidRDefault="00B23B5F">
      <w:pPr>
        <w:pStyle w:val="ConsPlusNormal"/>
        <w:jc w:val="right"/>
      </w:pPr>
      <w:r>
        <w:t>гражданского назначения, в том числе</w:t>
      </w:r>
    </w:p>
    <w:p w:rsidR="00B23B5F" w:rsidRDefault="00B23B5F">
      <w:pPr>
        <w:pStyle w:val="ConsPlusNormal"/>
        <w:jc w:val="right"/>
      </w:pPr>
      <w:r>
        <w:t>встроенных либо входящих в состав</w:t>
      </w:r>
    </w:p>
    <w:p w:rsidR="00B23B5F" w:rsidRDefault="00B23B5F">
      <w:pPr>
        <w:pStyle w:val="ConsPlusNormal"/>
        <w:jc w:val="right"/>
      </w:pPr>
      <w:r>
        <w:t>других товаров, при ввозе которых на</w:t>
      </w:r>
    </w:p>
    <w:p w:rsidR="00B23B5F" w:rsidRDefault="00B23B5F">
      <w:pPr>
        <w:pStyle w:val="ConsPlusNormal"/>
        <w:jc w:val="right"/>
      </w:pPr>
      <w:r>
        <w:t>таможенную территорию Евразийского</w:t>
      </w:r>
    </w:p>
    <w:p w:rsidR="00B23B5F" w:rsidRDefault="00B23B5F">
      <w:pPr>
        <w:pStyle w:val="ConsPlusNormal"/>
        <w:jc w:val="right"/>
      </w:pPr>
      <w:r>
        <w:t>экономического союза не требуется</w:t>
      </w:r>
    </w:p>
    <w:p w:rsidR="00B23B5F" w:rsidRDefault="00B23B5F">
      <w:pPr>
        <w:pStyle w:val="ConsPlusNormal"/>
        <w:jc w:val="right"/>
      </w:pPr>
      <w:r>
        <w:t>представление лицензии, заключения</w:t>
      </w:r>
    </w:p>
    <w:p w:rsidR="00B23B5F" w:rsidRDefault="00B23B5F">
      <w:pPr>
        <w:pStyle w:val="ConsPlusNormal"/>
        <w:jc w:val="right"/>
      </w:pPr>
      <w:r>
        <w:t>(разрешительного документа) или</w:t>
      </w:r>
    </w:p>
    <w:p w:rsidR="00B23B5F" w:rsidRDefault="00B23B5F">
      <w:pPr>
        <w:pStyle w:val="ConsPlusNormal"/>
        <w:jc w:val="right"/>
      </w:pPr>
      <w:r>
        <w:t>сведений из единого реестра</w:t>
      </w: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Title"/>
        <w:jc w:val="center"/>
      </w:pPr>
      <w:bookmarkStart w:id="15" w:name="Par24273"/>
      <w:bookmarkEnd w:id="15"/>
      <w:r>
        <w:t>ПЕРЕЧЕНЬ</w:t>
      </w:r>
    </w:p>
    <w:p w:rsidR="00B23B5F" w:rsidRDefault="00B23B5F">
      <w:pPr>
        <w:pStyle w:val="ConsPlusTitle"/>
        <w:jc w:val="center"/>
      </w:pPr>
      <w:r>
        <w:t>ПОЛОС РАДИОЧАСТОТ ИЛИ НОМИНАЛЬНЫХ ЗНАЧЕНИЙ РАДИОЧАСТОТ ДЛЯ ВЫСОКОЧАСТОТНЫХ УСТРОЙСТВ</w:t>
      </w:r>
    </w:p>
    <w:p w:rsidR="00B23B5F" w:rsidRDefault="00B23B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0"/>
        <w:gridCol w:w="1133"/>
        <w:gridCol w:w="2267"/>
        <w:gridCol w:w="2551"/>
      </w:tblGrid>
      <w:tr w:rsidR="00B23B5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Полосы радиочастот или номинальные значения радиочастот с допускаемыми отклонениями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B5F" w:rsidRDefault="00B23B5F">
            <w:pPr>
              <w:pStyle w:val="ConsPlusNormal"/>
              <w:jc w:val="center"/>
            </w:pPr>
            <w:r>
              <w:t>Мощность</w:t>
            </w:r>
          </w:p>
        </w:tc>
      </w:tr>
      <w:tr w:rsidR="00B23B5F">
        <w:tc>
          <w:tcPr>
            <w:tcW w:w="737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1,0 кГц +/- 20%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0,8 - 1,2 кГц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2,4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2,2 - 2,6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3,7 - 4,3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8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7,4 - 8,6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10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9,2 - 10,8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11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10,1 - 11,9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16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14,8 - 17,2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18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16,7 - 19,4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20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18,5 - 21,5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22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20,4 - 23,7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30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27,7 - 32,3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40 кГц +/- 7,5%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37 - 43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44 кГц +/- 10%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40 - 48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60 кГц +/- 10%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54 - 66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66 кГц + 12% - 10%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59 - 74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180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175,5 - 184,5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205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200 - 210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215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210 - 220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19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225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220 - 230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235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230 - 240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245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239 - 251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255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249 - 261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265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259 - 271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275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269 - 281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288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281 - 295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300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292,5 - 307,5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302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295 - 309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316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309 - 323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29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330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322 - 338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338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330 - 346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354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346 - 362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372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363 - 381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390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381 - 399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400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390 - 410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410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400 - 420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430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420 - 440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440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429 - 451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450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439 - 461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39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472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461 - 483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495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484 - 507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519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507 - 531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600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585 - 615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871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850 - 892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880 кГц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871 - 889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914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892 - 936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959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936 - 982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1 007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982 - 1 032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1 058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1 032 - 1 084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49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1 060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1 033,5 - 1 086,5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1 112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1 085 - 1 139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1 168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1 139 - 1 197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1 760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1 720 - 1 800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2 200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2 145 - 2 255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2 640 кГц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2 610 - 2 670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5 280 кГц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5 150 - 5 410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6 780 кГц +/- 0,2%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6 767 - 6 794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13 560 кГц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13 424 - 13 696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27 120 кГц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26 850 - 27 390 кГц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59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40,68 МГц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40,3 - 41,1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81,36 МГц +/- 1,0%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80,6 - 82,2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61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433,92 МГц +/- 0,2%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433,05 - 434,79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62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915 МГц +/- 1,4%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902 - 928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63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2 450 МГц +/- 2,0%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2 400 - 2 500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64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5 800 МГц +/- 1,3%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5 725 - 5 875 МГц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65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24,125 ГГц +/- 0,5%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24,0 - 24,25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66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42,3 ГГц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41,3 - 43,4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67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46,2 ГГц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45,0 - 47,4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68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48,4 ГГц +/- 2,5%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47,2 - 49,6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69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61,25 ГГц +/- 0,4%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61,0 - 61,5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</w:tcPr>
          <w:p w:rsidR="00B23B5F" w:rsidRDefault="00B23B5F">
            <w:pPr>
              <w:pStyle w:val="ConsPlusNormal"/>
            </w:pPr>
            <w:r>
              <w:t>70</w:t>
            </w:r>
          </w:p>
        </w:tc>
        <w:tc>
          <w:tcPr>
            <w:tcW w:w="2380" w:type="dxa"/>
          </w:tcPr>
          <w:p w:rsidR="00B23B5F" w:rsidRDefault="00B23B5F">
            <w:pPr>
              <w:pStyle w:val="ConsPlusNormal"/>
            </w:pPr>
            <w:r>
              <w:t>122,5 ГГц +/- 0,4%</w:t>
            </w:r>
          </w:p>
        </w:tc>
        <w:tc>
          <w:tcPr>
            <w:tcW w:w="1133" w:type="dxa"/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</w:tcPr>
          <w:p w:rsidR="00B23B5F" w:rsidRDefault="00B23B5F">
            <w:pPr>
              <w:pStyle w:val="ConsPlusNormal"/>
            </w:pPr>
            <w:r>
              <w:t>122,0 - 123,0 ГГц</w:t>
            </w:r>
          </w:p>
        </w:tc>
        <w:tc>
          <w:tcPr>
            <w:tcW w:w="2551" w:type="dxa"/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  <w:tr w:rsidR="00B23B5F">
        <w:tc>
          <w:tcPr>
            <w:tcW w:w="737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71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245 ГГц +/- 0,4%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244,0 - 246,0 ГГц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3B5F" w:rsidRDefault="00B23B5F">
            <w:pPr>
              <w:pStyle w:val="ConsPlusNormal"/>
            </w:pPr>
            <w:r>
              <w:t>не более 5 Вт</w:t>
            </w:r>
          </w:p>
        </w:tc>
      </w:tr>
    </w:tbl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p w:rsidR="00B23B5F" w:rsidRDefault="00B23B5F">
      <w:pPr>
        <w:pStyle w:val="ConsPlusNormal"/>
        <w:jc w:val="both"/>
      </w:pPr>
    </w:p>
    <w:sectPr w:rsidR="00B23B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04"/>
    <w:rsid w:val="001015B1"/>
    <w:rsid w:val="001D0399"/>
    <w:rsid w:val="003E45F0"/>
    <w:rsid w:val="00422F6F"/>
    <w:rsid w:val="00562DF9"/>
    <w:rsid w:val="008A06CD"/>
    <w:rsid w:val="0095466A"/>
    <w:rsid w:val="00B23B5F"/>
    <w:rsid w:val="00F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6375</Words>
  <Characters>36338</Characters>
  <Application>Microsoft Office Word</Application>
  <DocSecurity>2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42628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Жолудь</dc:creator>
  <cp:lastModifiedBy>Жолудь</cp:lastModifiedBy>
  <cp:revision>2</cp:revision>
  <dcterms:created xsi:type="dcterms:W3CDTF">2021-08-04T06:55:00Z</dcterms:created>
  <dcterms:modified xsi:type="dcterms:W3CDTF">2021-08-04T06:55:00Z</dcterms:modified>
</cp:coreProperties>
</file>